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21" w:rsidRPr="006F6966" w:rsidRDefault="009C0221" w:rsidP="009C0221">
      <w:pPr>
        <w:pStyle w:val="Gvdemetni30"/>
        <w:shd w:val="clear" w:color="auto" w:fill="auto"/>
        <w:spacing w:before="0"/>
        <w:jc w:val="center"/>
        <w:rPr>
          <w:rStyle w:val="Gvdemetni3talikdeil"/>
          <w:b/>
          <w:sz w:val="22"/>
          <w:szCs w:val="22"/>
        </w:rPr>
      </w:pPr>
      <w:r w:rsidRPr="006F6966">
        <w:rPr>
          <w:rStyle w:val="Gvdemetni3talikdeil"/>
          <w:b/>
          <w:sz w:val="22"/>
          <w:szCs w:val="22"/>
        </w:rPr>
        <w:t>BADEM, ŞEFTALİ NEKTARİN GEÇİCİ TAVSİYE</w:t>
      </w:r>
    </w:p>
    <w:p w:rsidR="008B26A8" w:rsidRPr="006F6966" w:rsidRDefault="00932962">
      <w:pPr>
        <w:pStyle w:val="Gvdemetni30"/>
        <w:shd w:val="clear" w:color="auto" w:fill="auto"/>
        <w:spacing w:before="0"/>
        <w:rPr>
          <w:sz w:val="22"/>
          <w:szCs w:val="22"/>
        </w:rPr>
      </w:pPr>
      <w:r w:rsidRPr="006F6966">
        <w:rPr>
          <w:rStyle w:val="Gvdemetni3talikdeil"/>
          <w:sz w:val="22"/>
          <w:szCs w:val="22"/>
        </w:rPr>
        <w:t>Bitki koruma ürünlerinde geçici tavsiye ile ilgili hususlar, 9 Kasım 2017 tarihinde Resmi Gazete’de yayımlanan “</w:t>
      </w:r>
      <w:r w:rsidRPr="006F6966">
        <w:rPr>
          <w:sz w:val="22"/>
          <w:szCs w:val="22"/>
        </w:rPr>
        <w:t>Bitki Koruma Ürünlerinin Ruhsatlandırılması ve Piyasaya Arzı Hakkındaki Yönetmelik</w:t>
      </w:r>
      <w:r w:rsidRPr="006F6966">
        <w:rPr>
          <w:rStyle w:val="Gvdemetni3talikdeil"/>
          <w:sz w:val="22"/>
          <w:szCs w:val="22"/>
        </w:rPr>
        <w:t>’ hükümlerinin 7. maddesinin 1. fıkrasında “</w:t>
      </w:r>
      <w:r w:rsidRPr="006F6966">
        <w:rPr>
          <w:sz w:val="22"/>
          <w:szCs w:val="22"/>
        </w:rPr>
        <w:t>Herhangi bir bitkisel üründe ekonomik zarara neden olan bir zararlı organizma için teknik talimatının veya ruhsatlı bitki koruma ürününün bulunmaması durumunda Genel Müdürlük tarafından bitki koruma ürünlerine geçici olarak üretim sezonunda sınırlı ve kontrollü kullanılması şartıyla en fazla 120 gün süreyle kullanım izni verilebilir.”</w:t>
      </w:r>
      <w:r w:rsidRPr="006F6966">
        <w:rPr>
          <w:rStyle w:val="Gvdemetni3talikdeil"/>
          <w:sz w:val="22"/>
          <w:szCs w:val="22"/>
        </w:rPr>
        <w:t xml:space="preserve"> belirtilmektedir.</w:t>
      </w:r>
    </w:p>
    <w:p w:rsidR="008B26A8" w:rsidRPr="006F6966" w:rsidRDefault="00932962">
      <w:pPr>
        <w:pStyle w:val="Gvdemetni20"/>
        <w:shd w:val="clear" w:color="auto" w:fill="auto"/>
        <w:spacing w:line="317" w:lineRule="exact"/>
        <w:ind w:firstLine="820"/>
        <w:jc w:val="both"/>
        <w:rPr>
          <w:sz w:val="22"/>
          <w:szCs w:val="22"/>
        </w:rPr>
      </w:pPr>
      <w:r w:rsidRPr="006F6966">
        <w:rPr>
          <w:sz w:val="22"/>
          <w:szCs w:val="22"/>
        </w:rPr>
        <w:t xml:space="preserve">Bu kapsamda, Muğla Gıda Tarım ve Hayvancılık İl Müdürlüğü'nün talebi ile ilgi (a) ‘da kayıtlı yazımız ile verilen Badem ağaçlarında görülen çiçek monilyası </w:t>
      </w:r>
      <w:r w:rsidRPr="006F6966">
        <w:rPr>
          <w:rStyle w:val="Gvdemetni2talik"/>
          <w:sz w:val="22"/>
          <w:szCs w:val="22"/>
        </w:rPr>
        <w:t>(Monilia laxa)</w:t>
      </w:r>
      <w:r w:rsidRPr="006F6966">
        <w:rPr>
          <w:sz w:val="22"/>
          <w:szCs w:val="22"/>
        </w:rPr>
        <w:t xml:space="preserve"> hastalığına karşı geçici bitki koruma ürünü tavsiyesi </w:t>
      </w:r>
      <w:r w:rsidRPr="006F6966">
        <w:rPr>
          <w:rStyle w:val="Gvdemetni2Kalntalik"/>
          <w:sz w:val="22"/>
          <w:szCs w:val="22"/>
        </w:rPr>
        <w:t>19.10.2017 tarihinde sonlanmıştır</w:t>
      </w:r>
      <w:r w:rsidRPr="006F6966">
        <w:rPr>
          <w:rStyle w:val="Gvdemetni2Kalntalik0"/>
          <w:sz w:val="22"/>
          <w:szCs w:val="22"/>
        </w:rPr>
        <w:t>.</w:t>
      </w:r>
      <w:r w:rsidRPr="006F6966">
        <w:rPr>
          <w:sz w:val="22"/>
          <w:szCs w:val="22"/>
        </w:rPr>
        <w:t xml:space="preserve"> Ancak, hastalıkla ilgili durumun devam etmesi, mücadele için sezonun kaçırılmaması ve üreticilerin mağdur olmaması gerekçesiyle Denizli Gıda Tarım ve Hayvancılık İl Müdürlüğü'nün ilgi (c) ‘de kayıtlı yazısı ile Bornova Zirai Mücadele Araştırma Enstitüsü Müdürlüğü’ne durum iletilmiş olup, ilgili diğer enstitü görüşleri alınarak Bakanlığımıza sunulan rapor neticesinde Badem ağaçlarında Çiçek monilyası (</w:t>
      </w:r>
      <w:r w:rsidRPr="006F6966">
        <w:rPr>
          <w:rStyle w:val="Gvdemetni2talik"/>
          <w:sz w:val="22"/>
          <w:szCs w:val="22"/>
        </w:rPr>
        <w:t>Monilia laxa</w:t>
      </w:r>
      <w:r w:rsidRPr="006F6966">
        <w:rPr>
          <w:sz w:val="22"/>
          <w:szCs w:val="22"/>
        </w:rPr>
        <w:t xml:space="preserve">) hastalığına karşı mücadelede önerilen geçici tavsiye aktif madde listesi </w:t>
      </w:r>
      <w:r w:rsidRPr="006F6966">
        <w:rPr>
          <w:rStyle w:val="Gvdemetni2Kalntalik"/>
          <w:sz w:val="22"/>
          <w:szCs w:val="22"/>
        </w:rPr>
        <w:t>14.03.2018 tarihi itibar</w:t>
      </w:r>
      <w:r w:rsidRPr="006F6966">
        <w:rPr>
          <w:rStyle w:val="Gvdemetni2Kalntalik0"/>
          <w:sz w:val="22"/>
          <w:szCs w:val="22"/>
        </w:rPr>
        <w:t>iyle</w:t>
      </w:r>
      <w:r w:rsidRPr="006F6966">
        <w:rPr>
          <w:sz w:val="22"/>
          <w:szCs w:val="22"/>
        </w:rPr>
        <w:t xml:space="preserve"> 120 gün süreyle geçerli olmak kaydıyla yazımız ekinde</w:t>
      </w:r>
      <w:r w:rsidR="009C0221" w:rsidRPr="006F6966">
        <w:rPr>
          <w:sz w:val="22"/>
          <w:szCs w:val="22"/>
        </w:rPr>
        <w:t>dir.</w:t>
      </w:r>
    </w:p>
    <w:p w:rsidR="009C0221" w:rsidRPr="006F6966" w:rsidRDefault="00932962" w:rsidP="009C0221">
      <w:pPr>
        <w:pStyle w:val="Gvdemetni20"/>
        <w:shd w:val="clear" w:color="auto" w:fill="auto"/>
        <w:spacing w:after="594" w:line="317" w:lineRule="exact"/>
        <w:ind w:firstLine="1060"/>
        <w:jc w:val="both"/>
        <w:rPr>
          <w:sz w:val="22"/>
          <w:szCs w:val="22"/>
        </w:rPr>
      </w:pPr>
      <w:r w:rsidRPr="006F6966">
        <w:rPr>
          <w:sz w:val="22"/>
          <w:szCs w:val="22"/>
        </w:rPr>
        <w:t xml:space="preserve">Ayrıca, Çanakkale Gıda Tarım ve Hayvancılık İl Müdürlüğü'nün talebi ile ilgi (b) ‘de kayıtlı yazımız ile Şeftali-Nektarinde Meyve monilyası </w:t>
      </w:r>
      <w:r w:rsidRPr="006F6966">
        <w:rPr>
          <w:rStyle w:val="Gvdemetni2talik"/>
          <w:sz w:val="22"/>
          <w:szCs w:val="22"/>
        </w:rPr>
        <w:t>(Moniliafructigena)</w:t>
      </w:r>
      <w:r w:rsidRPr="006F6966">
        <w:rPr>
          <w:sz w:val="22"/>
          <w:szCs w:val="22"/>
        </w:rPr>
        <w:t xml:space="preserve"> hastalığına karşı geçici bitki koruma ürünü tavsiyesi </w:t>
      </w:r>
      <w:r w:rsidRPr="006F6966">
        <w:rPr>
          <w:rStyle w:val="Gvdemetni2Kalntalik"/>
          <w:sz w:val="22"/>
          <w:szCs w:val="22"/>
        </w:rPr>
        <w:t>24.03.2018 tarihinde sona erecektir.</w:t>
      </w:r>
      <w:r w:rsidRPr="006F6966">
        <w:rPr>
          <w:sz w:val="22"/>
          <w:szCs w:val="22"/>
        </w:rPr>
        <w:t xml:space="preserve"> Ancak, hastalıkla ilgili durumun devam etmesi, mücadele için sezonun kaçırılmaması ve üreticilerin mağdur olmaması gerekçesiyle Denizli Gıda Tarım ve Hayvancılık İl Müdürlüğü'nün ilgi (c) ‘de kayıtlı yazısı ile Bornova Zirai Mücadele Araştırma Enstitüsü Müdürlüğü’ne durum iletilmiş olup, ilgili diğer enstitü görüşleri alınarak Bakanlığımıza sunulan rapor neticesinde Şeftali-Nektarinde Meyve monilyası </w:t>
      </w:r>
      <w:r w:rsidRPr="006F6966">
        <w:rPr>
          <w:rStyle w:val="Gvdemetni2talik"/>
          <w:sz w:val="22"/>
          <w:szCs w:val="22"/>
        </w:rPr>
        <w:t>(Monilia fructigena)</w:t>
      </w:r>
      <w:r w:rsidRPr="006F6966">
        <w:rPr>
          <w:sz w:val="22"/>
          <w:szCs w:val="22"/>
        </w:rPr>
        <w:t xml:space="preserve"> hastalığına karşı mücadelede önerilen geçici tavsiye aktif madde listesi </w:t>
      </w:r>
      <w:r w:rsidRPr="006F6966">
        <w:rPr>
          <w:rStyle w:val="Gvdemetni2Kalntalik"/>
          <w:sz w:val="22"/>
          <w:szCs w:val="22"/>
        </w:rPr>
        <w:t>24.03.2018 tarihinden itibaren</w:t>
      </w:r>
      <w:r w:rsidRPr="006F6966">
        <w:rPr>
          <w:sz w:val="22"/>
          <w:szCs w:val="22"/>
        </w:rPr>
        <w:t xml:space="preserve"> 120 gün süreyle geçerli olmak kaydıyla yazımız ekinde</w:t>
      </w:r>
      <w:r w:rsidR="009C0221" w:rsidRPr="006F6966">
        <w:rPr>
          <w:sz w:val="22"/>
          <w:szCs w:val="22"/>
        </w:rPr>
        <w:t>dir.</w:t>
      </w:r>
    </w:p>
    <w:p w:rsidR="008B26A8" w:rsidRPr="006F6966" w:rsidRDefault="009C0221" w:rsidP="009C0221">
      <w:pPr>
        <w:pStyle w:val="Gvdemetni20"/>
        <w:shd w:val="clear" w:color="auto" w:fill="auto"/>
        <w:spacing w:after="594" w:line="317" w:lineRule="exact"/>
        <w:ind w:firstLine="1060"/>
        <w:jc w:val="both"/>
        <w:rPr>
          <w:sz w:val="22"/>
          <w:szCs w:val="22"/>
        </w:rPr>
      </w:pPr>
      <w:r w:rsidRPr="006F6966">
        <w:rPr>
          <w:sz w:val="22"/>
          <w:szCs w:val="22"/>
        </w:rPr>
        <w:t>Y</w:t>
      </w:r>
      <w:r w:rsidR="00932962" w:rsidRPr="006F6966">
        <w:rPr>
          <w:sz w:val="22"/>
          <w:szCs w:val="22"/>
        </w:rPr>
        <w:t xml:space="preserve">ukarıda belirtilen etmenlerin görülmesi durumunda, önerilen BKÜ’nün mer’i mevzuat hükümlerinde belirtilen 120 günlük kullanım süresine dikkat edilerek, Badem ağaçlarında Çiçek monilyası </w:t>
      </w:r>
      <w:r w:rsidR="00932962" w:rsidRPr="006F6966">
        <w:rPr>
          <w:rStyle w:val="Gvdemetni2talik"/>
          <w:sz w:val="22"/>
          <w:szCs w:val="22"/>
        </w:rPr>
        <w:t>(Monilia laxa)</w:t>
      </w:r>
      <w:r w:rsidR="00932962" w:rsidRPr="006F6966">
        <w:rPr>
          <w:sz w:val="22"/>
          <w:szCs w:val="22"/>
        </w:rPr>
        <w:t xml:space="preserve"> ile Şeftali-Nektarinde Meyve monilyası </w:t>
      </w:r>
      <w:r w:rsidR="00932962" w:rsidRPr="006F6966">
        <w:rPr>
          <w:rStyle w:val="Gvdemetni2talik"/>
          <w:sz w:val="22"/>
          <w:szCs w:val="22"/>
        </w:rPr>
        <w:t xml:space="preserve">(Monilia fructigena) </w:t>
      </w:r>
      <w:r w:rsidR="00932962" w:rsidRPr="006F6966">
        <w:rPr>
          <w:sz w:val="22"/>
          <w:szCs w:val="22"/>
        </w:rPr>
        <w:t xml:space="preserve">hastalıklarına karşı reçetelendirilerek kullandırılması </w:t>
      </w:r>
      <w:r w:rsidRPr="006F6966">
        <w:rPr>
          <w:sz w:val="22"/>
          <w:szCs w:val="22"/>
        </w:rPr>
        <w:t>Bakanlığımız tarafından uygun bulunmuştur.</w:t>
      </w:r>
    </w:p>
    <w:p w:rsidR="006F6966" w:rsidRPr="006F6966" w:rsidRDefault="006F6966" w:rsidP="006F6966">
      <w:pPr>
        <w:keepNext/>
        <w:keepLines/>
        <w:spacing w:line="385" w:lineRule="exact"/>
        <w:ind w:left="5420" w:right="3340" w:hanging="1540"/>
        <w:outlineLvl w:val="0"/>
        <w:rPr>
          <w:rFonts w:ascii="Times New Roman" w:eastAsia="Calibri" w:hAnsi="Times New Roman" w:cs="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2110"/>
        <w:gridCol w:w="1433"/>
        <w:gridCol w:w="1447"/>
        <w:gridCol w:w="1246"/>
        <w:gridCol w:w="994"/>
        <w:gridCol w:w="2423"/>
      </w:tblGrid>
      <w:tr w:rsidR="006F6966" w:rsidRPr="006F6966" w:rsidTr="00E07315">
        <w:tblPrEx>
          <w:tblCellMar>
            <w:top w:w="0" w:type="dxa"/>
            <w:bottom w:w="0" w:type="dxa"/>
          </w:tblCellMar>
        </w:tblPrEx>
        <w:trPr>
          <w:trHeight w:hRule="exact" w:val="1847"/>
          <w:jc w:val="center"/>
        </w:trPr>
        <w:tc>
          <w:tcPr>
            <w:tcW w:w="1411"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59"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Bitki ve Etmen Adı</w:t>
            </w:r>
          </w:p>
        </w:tc>
        <w:tc>
          <w:tcPr>
            <w:tcW w:w="2110"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Aktif Madde Adı</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Formulasyon</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63"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Doz (100 L suya)</w:t>
            </w:r>
          </w:p>
        </w:tc>
        <w:tc>
          <w:tcPr>
            <w:tcW w:w="1246"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9"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Son</w:t>
            </w:r>
          </w:p>
          <w:p w:rsidR="006F6966" w:rsidRPr="006F6966" w:rsidRDefault="006F6966" w:rsidP="006F6966">
            <w:pPr>
              <w:framePr w:w="11063" w:wrap="notBeside" w:vAnchor="text" w:hAnchor="text" w:xAlign="center" w:y="1"/>
              <w:spacing w:line="259"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ilaçlama ile hasat arasında geçmesi gereken süre (gün)</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MRL</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Değeri</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(mg/kg)</w:t>
            </w:r>
          </w:p>
        </w:tc>
        <w:tc>
          <w:tcPr>
            <w:tcW w:w="2423" w:type="dxa"/>
            <w:tcBorders>
              <w:top w:val="single" w:sz="4" w:space="0" w:color="auto"/>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spacing w:line="248"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Uygulama şekli ve sayısı</w:t>
            </w:r>
          </w:p>
        </w:tc>
      </w:tr>
      <w:tr w:rsidR="006F6966" w:rsidRPr="006F6966" w:rsidTr="00E07315">
        <w:tblPrEx>
          <w:tblCellMar>
            <w:top w:w="0" w:type="dxa"/>
            <w:bottom w:w="0" w:type="dxa"/>
          </w:tblCellMar>
        </w:tblPrEx>
        <w:trPr>
          <w:trHeight w:hRule="exact" w:val="770"/>
          <w:jc w:val="center"/>
        </w:trPr>
        <w:tc>
          <w:tcPr>
            <w:tcW w:w="1411"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 xml:space="preserve">Şeftali </w:t>
            </w:r>
            <w:r w:rsidRPr="006F6966">
              <w:rPr>
                <w:rFonts w:ascii="Times New Roman" w:eastAsia="Times New Roman" w:hAnsi="Times New Roman" w:cs="Times New Roman"/>
                <w:spacing w:val="10"/>
                <w:sz w:val="22"/>
                <w:szCs w:val="22"/>
              </w:rPr>
              <w:t>-</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Nektarin</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Meyve</w:t>
            </w: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2"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200 g/L Fluopyram + 200 g/L Tebuconazole</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SC</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25 mİ</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3 gün</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1.5 -0.6</w:t>
            </w:r>
          </w:p>
        </w:tc>
        <w:tc>
          <w:tcPr>
            <w:tcW w:w="2423" w:type="dxa"/>
            <w:vMerge w:val="restart"/>
            <w:tcBorders>
              <w:top w:val="single" w:sz="4" w:space="0" w:color="auto"/>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spacing w:line="252"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Meyvelere ben düştüğünde tek bir ilaçlama yapılmalıdır.</w:t>
            </w:r>
          </w:p>
        </w:tc>
      </w:tr>
      <w:tr w:rsidR="006F6966" w:rsidRPr="006F6966" w:rsidTr="00E07315">
        <w:tblPrEx>
          <w:tblCellMar>
            <w:top w:w="0" w:type="dxa"/>
            <w:bottom w:w="0" w:type="dxa"/>
          </w:tblCellMar>
        </w:tblPrEx>
        <w:trPr>
          <w:trHeight w:hRule="exact" w:val="760"/>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spacing w:after="280"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monilyası</w:t>
            </w:r>
          </w:p>
          <w:p w:rsidR="006F6966" w:rsidRPr="006F6966" w:rsidRDefault="006F6966" w:rsidP="006F6966">
            <w:pPr>
              <w:framePr w:w="11063" w:wrap="notBeside" w:vAnchor="text" w:hAnchor="text" w:xAlign="center" w:y="1"/>
              <w:spacing w:before="280" w:line="222"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i/>
                <w:iCs/>
                <w:sz w:val="22"/>
                <w:szCs w:val="22"/>
              </w:rPr>
              <w:t>(Monilia</w:t>
            </w:r>
          </w:p>
        </w:tc>
        <w:tc>
          <w:tcPr>
            <w:tcW w:w="2110"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34"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%25 Boscalid+ % 12.8</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Pyraclostrobin</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WG</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40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textDirection w:val="tbRl"/>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cn</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ö</w:t>
            </w:r>
          </w:p>
          <w:p w:rsidR="006F6966" w:rsidRPr="006F6966" w:rsidRDefault="006F6966" w:rsidP="006F6966">
            <w:pPr>
              <w:framePr w:w="11063" w:wrap="notBeside" w:vAnchor="text" w:hAnchor="text" w:xAlign="center" w:y="1"/>
              <w:spacing w:line="200" w:lineRule="exact"/>
              <w:ind w:left="160"/>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I</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ı/r</w:t>
            </w:r>
          </w:p>
        </w:tc>
        <w:tc>
          <w:tcPr>
            <w:tcW w:w="2423" w:type="dxa"/>
            <w:vMerge/>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515"/>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spacing w:line="222"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i/>
                <w:iCs/>
                <w:sz w:val="22"/>
                <w:szCs w:val="22"/>
              </w:rPr>
              <w:t>fru</w:t>
            </w:r>
            <w:bookmarkStart w:id="0" w:name="_GoBack"/>
            <w:bookmarkEnd w:id="0"/>
            <w:r w:rsidRPr="006F6966">
              <w:rPr>
                <w:rFonts w:ascii="Times New Roman" w:eastAsia="Times New Roman" w:hAnsi="Times New Roman" w:cs="Times New Roman"/>
                <w:b/>
                <w:bCs/>
                <w:i/>
                <w:iCs/>
                <w:sz w:val="22"/>
                <w:szCs w:val="22"/>
              </w:rPr>
              <w:t>ctigena</w:t>
            </w:r>
            <w:r w:rsidRPr="006F6966">
              <w:rPr>
                <w:rFonts w:ascii="Times New Roman" w:eastAsia="Times New Roman" w:hAnsi="Times New Roman" w:cs="Times New Roman"/>
                <w:spacing w:val="10"/>
                <w:sz w:val="22"/>
                <w:szCs w:val="22"/>
              </w:rPr>
              <w:t>)</w:t>
            </w:r>
          </w:p>
        </w:tc>
        <w:tc>
          <w:tcPr>
            <w:tcW w:w="2110"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5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%26.7 Boscalid+ %6.7 Pyraclostrobin</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WG</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75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textDirection w:val="btLr"/>
          </w:tcPr>
          <w:p w:rsidR="006F6966" w:rsidRPr="006F6966" w:rsidRDefault="006F6966" w:rsidP="006F6966">
            <w:pPr>
              <w:framePr w:w="11063" w:wrap="notBeside" w:vAnchor="text" w:hAnchor="text" w:xAlign="center" w:y="1"/>
              <w:spacing w:line="110" w:lineRule="exact"/>
              <w:jc w:val="right"/>
              <w:rPr>
                <w:rFonts w:ascii="Times New Roman" w:eastAsia="Times New Roman" w:hAnsi="Times New Roman" w:cs="Times New Roman"/>
                <w:sz w:val="22"/>
                <w:szCs w:val="22"/>
              </w:rPr>
            </w:pPr>
            <w:r w:rsidRPr="006F6966">
              <w:rPr>
                <w:rFonts w:ascii="Times New Roman" w:eastAsia="Times New Roman" w:hAnsi="Times New Roman" w:cs="Times New Roman"/>
                <w:sz w:val="22"/>
                <w:szCs w:val="22"/>
              </w:rPr>
              <w:t>LAı</w:t>
            </w:r>
          </w:p>
          <w:p w:rsidR="006F6966" w:rsidRPr="006F6966" w:rsidRDefault="006F6966" w:rsidP="006F6966">
            <w:pPr>
              <w:framePr w:w="11063" w:wrap="notBeside" w:vAnchor="text" w:hAnchor="text" w:xAlign="center" w:y="1"/>
              <w:spacing w:line="200" w:lineRule="exact"/>
              <w:ind w:left="340"/>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w:t>
            </w:r>
          </w:p>
          <w:p w:rsidR="006F6966" w:rsidRPr="006F6966" w:rsidRDefault="006F6966" w:rsidP="006F6966">
            <w:pPr>
              <w:framePr w:w="11063" w:wrap="notBeside" w:vAnchor="text" w:hAnchor="text" w:xAlign="center" w:y="1"/>
              <w:spacing w:line="200" w:lineRule="exact"/>
              <w:jc w:val="righ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O</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533"/>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6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Basillus subtilis Y1336</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WP</w:t>
            </w:r>
          </w:p>
        </w:tc>
        <w:tc>
          <w:tcPr>
            <w:tcW w:w="1447"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7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100g/100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529"/>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Basillus subtilis QST 713 ırkı 134 g/L</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SC</w:t>
            </w:r>
          </w:p>
        </w:tc>
        <w:tc>
          <w:tcPr>
            <w:tcW w:w="1447"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1500 cc/ 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515"/>
          <w:jc w:val="center"/>
        </w:trPr>
        <w:tc>
          <w:tcPr>
            <w:tcW w:w="1411"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Badem</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ağaçlarında</w:t>
            </w: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48"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 70 Thiophanate methyl</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WP</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60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14 gün</w:t>
            </w:r>
          </w:p>
        </w:tc>
        <w:tc>
          <w:tcPr>
            <w:tcW w:w="994" w:type="dxa"/>
            <w:tcBorders>
              <w:top w:val="single" w:sz="4" w:space="0" w:color="auto"/>
              <w:left w:val="single" w:sz="4" w:space="0" w:color="auto"/>
            </w:tcBorders>
            <w:shd w:val="clear" w:color="auto" w:fill="FFFFFF"/>
            <w:vAlign w:val="center"/>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0.2</w:t>
            </w:r>
          </w:p>
        </w:tc>
        <w:tc>
          <w:tcPr>
            <w:tcW w:w="2423" w:type="dxa"/>
            <w:tcBorders>
              <w:top w:val="single" w:sz="4" w:space="0" w:color="auto"/>
              <w:left w:val="single" w:sz="4" w:space="0" w:color="auto"/>
              <w:righ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2"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 .İlaçlama çiçeklenme başlangıcında (%5-10</w:t>
            </w:r>
          </w:p>
        </w:tc>
      </w:tr>
      <w:tr w:rsidR="006F6966" w:rsidRPr="006F6966" w:rsidTr="00E07315">
        <w:tblPrEx>
          <w:tblCellMar>
            <w:top w:w="0" w:type="dxa"/>
            <w:bottom w:w="0" w:type="dxa"/>
          </w:tblCellMar>
        </w:tblPrEx>
        <w:trPr>
          <w:trHeight w:hRule="exact" w:val="752"/>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Çiçek</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monilyası</w:t>
            </w: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45"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200 g/L Fluopyram + 200 g/L Tebuconazole</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SC</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41"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25 mİ/100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3 gün</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0.05-</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0.05</w:t>
            </w:r>
          </w:p>
        </w:tc>
        <w:tc>
          <w:tcPr>
            <w:tcW w:w="2423" w:type="dxa"/>
            <w:tcBorders>
              <w:left w:val="single" w:sz="4" w:space="0" w:color="auto"/>
              <w:right w:val="single" w:sz="4" w:space="0" w:color="auto"/>
            </w:tcBorders>
            <w:shd w:val="clear" w:color="auto" w:fill="FFFFFF"/>
            <w:vAlign w:val="bottom"/>
          </w:tcPr>
          <w:p w:rsidR="006F6966" w:rsidRPr="006F6966" w:rsidRDefault="006F6966" w:rsidP="006F6966">
            <w:pPr>
              <w:framePr w:w="11063" w:wrap="notBeside" w:vAnchor="text" w:hAnchor="text" w:xAlign="center" w:y="1"/>
              <w:spacing w:line="241"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çiçekte) 2. İlaçlama tam çiçeklenmede (%90-100 çiçekte yapılır)</w:t>
            </w:r>
          </w:p>
        </w:tc>
      </w:tr>
      <w:tr w:rsidR="006F6966" w:rsidRPr="006F6966" w:rsidTr="00E07315">
        <w:tblPrEx>
          <w:tblCellMar>
            <w:top w:w="0" w:type="dxa"/>
            <w:bottom w:w="0" w:type="dxa"/>
          </w:tblCellMar>
        </w:tblPrEx>
        <w:trPr>
          <w:trHeight w:hRule="exact" w:val="515"/>
          <w:jc w:val="center"/>
        </w:trPr>
        <w:tc>
          <w:tcPr>
            <w:tcW w:w="1411" w:type="dxa"/>
            <w:tcBorders>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(Monilia</w:t>
            </w: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9"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150 g/L Cyprodinil+ 100 g/L Fludioxonil</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WG</w:t>
            </w:r>
          </w:p>
        </w:tc>
        <w:tc>
          <w:tcPr>
            <w:tcW w:w="1447"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9"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100 ml/lOOL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vAlign w:val="center"/>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0.02</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796"/>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b/>
                <w:bCs/>
                <w:sz w:val="22"/>
                <w:szCs w:val="22"/>
              </w:rPr>
              <w:t>laxa)</w:t>
            </w: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6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%25 Boscalid+ % 12.8</w:t>
            </w:r>
          </w:p>
          <w:p w:rsidR="006F6966" w:rsidRPr="006F6966" w:rsidRDefault="006F6966" w:rsidP="006F6966">
            <w:pPr>
              <w:framePr w:w="11063" w:wrap="notBeside" w:vAnchor="text" w:hAnchor="text" w:xAlign="center" w:y="1"/>
              <w:spacing w:line="266"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Pyraclostrobin</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WG</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40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after="60"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0.05-</w:t>
            </w:r>
          </w:p>
          <w:p w:rsidR="006F6966" w:rsidRPr="006F6966" w:rsidRDefault="006F6966" w:rsidP="006F6966">
            <w:pPr>
              <w:framePr w:w="11063" w:wrap="notBeside" w:vAnchor="text" w:hAnchor="text" w:xAlign="center" w:y="1"/>
              <w:spacing w:before="60"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0.02*</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518"/>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48"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%26.7 Boscalid+ %6.7 Pyraclostrobin</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WG</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75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vAlign w:val="bottom"/>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0.05-</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0.02*</w:t>
            </w:r>
          </w:p>
        </w:tc>
        <w:tc>
          <w:tcPr>
            <w:tcW w:w="2423" w:type="dxa"/>
            <w:tcBorders>
              <w:left w:val="single" w:sz="4" w:space="0" w:color="auto"/>
              <w:righ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r>
      <w:tr w:rsidR="006F6966" w:rsidRPr="006F6966" w:rsidTr="00E07315">
        <w:tblPrEx>
          <w:tblCellMar>
            <w:top w:w="0" w:type="dxa"/>
            <w:bottom w:w="0" w:type="dxa"/>
          </w:tblCellMar>
        </w:tblPrEx>
        <w:trPr>
          <w:trHeight w:hRule="exact" w:val="1253"/>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50 g/L</w:t>
            </w:r>
          </w:p>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Feııbuconazole</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EC</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45"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125 mİ/100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both"/>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7 gün</w:t>
            </w: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0.05</w:t>
            </w:r>
          </w:p>
        </w:tc>
        <w:tc>
          <w:tcPr>
            <w:tcW w:w="2423" w:type="dxa"/>
            <w:tcBorders>
              <w:top w:val="single" w:sz="4" w:space="0" w:color="auto"/>
              <w:left w:val="single" w:sz="4" w:space="0" w:color="auto"/>
              <w:right w:val="single" w:sz="4" w:space="0" w:color="auto"/>
            </w:tcBorders>
            <w:shd w:val="clear" w:color="auto" w:fill="FFFFFF"/>
            <w:vAlign w:val="bottom"/>
          </w:tcPr>
          <w:p w:rsidR="006F6966" w:rsidRPr="006F6966" w:rsidRDefault="006F6966" w:rsidP="006F6966">
            <w:pPr>
              <w:framePr w:w="11063" w:wrap="notBeside" w:vAnchor="text" w:hAnchor="text" w:xAlign="center" w:y="1"/>
              <w:spacing w:line="245"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1.İlaçlama çiçeklenme başlangıcında (%5-10 çiçekte) 2. İlaçlama tam çiçeklenmede (%90-100 çiçekte yapılır)</w:t>
            </w:r>
          </w:p>
        </w:tc>
      </w:tr>
      <w:tr w:rsidR="006F6966" w:rsidRPr="006F6966" w:rsidTr="00E07315">
        <w:tblPrEx>
          <w:tblCellMar>
            <w:top w:w="0" w:type="dxa"/>
            <w:bottom w:w="0" w:type="dxa"/>
          </w:tblCellMar>
        </w:tblPrEx>
        <w:trPr>
          <w:trHeight w:hRule="exact" w:val="1786"/>
          <w:jc w:val="center"/>
        </w:trPr>
        <w:tc>
          <w:tcPr>
            <w:tcW w:w="1411" w:type="dxa"/>
            <w:tcBorders>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59"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Basillus subtilis Y1336</w:t>
            </w:r>
          </w:p>
        </w:tc>
        <w:tc>
          <w:tcPr>
            <w:tcW w:w="1433"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WP</w:t>
            </w:r>
          </w:p>
        </w:tc>
        <w:tc>
          <w:tcPr>
            <w:tcW w:w="1447"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spacing w:line="259"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100 g/100 L su</w:t>
            </w:r>
          </w:p>
        </w:tc>
        <w:tc>
          <w:tcPr>
            <w:tcW w:w="1246"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994" w:type="dxa"/>
            <w:tcBorders>
              <w:top w:val="single" w:sz="4" w:space="0" w:color="auto"/>
              <w:left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423" w:type="dxa"/>
            <w:tcBorders>
              <w:top w:val="single" w:sz="4" w:space="0" w:color="auto"/>
              <w:left w:val="single" w:sz="4" w:space="0" w:color="auto"/>
              <w:righ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2"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 .İlaçlama çiçeklenme başlangıcında (çiçekler %5-10 açtığında) 2. İlaçlama tam çiçek döneminde (çiçeklerin%90-100 açtığında yapılır)</w:t>
            </w:r>
          </w:p>
        </w:tc>
      </w:tr>
      <w:tr w:rsidR="006F6966" w:rsidRPr="006F6966" w:rsidTr="00E07315">
        <w:tblPrEx>
          <w:tblCellMar>
            <w:top w:w="0" w:type="dxa"/>
            <w:bottom w:w="0" w:type="dxa"/>
          </w:tblCellMar>
        </w:tblPrEx>
        <w:trPr>
          <w:trHeight w:hRule="exact" w:val="1548"/>
          <w:jc w:val="center"/>
        </w:trPr>
        <w:tc>
          <w:tcPr>
            <w:tcW w:w="1411" w:type="dxa"/>
            <w:tcBorders>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110" w:type="dxa"/>
            <w:tcBorders>
              <w:top w:val="single" w:sz="4" w:space="0" w:color="auto"/>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spacing w:line="241"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Basillus subtilis QST 713 ırkı 134 g/L</w:t>
            </w:r>
          </w:p>
        </w:tc>
        <w:tc>
          <w:tcPr>
            <w:tcW w:w="1433" w:type="dxa"/>
            <w:tcBorders>
              <w:top w:val="single" w:sz="4" w:space="0" w:color="auto"/>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spacing w:line="200" w:lineRule="exact"/>
              <w:jc w:val="center"/>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SC</w:t>
            </w:r>
          </w:p>
        </w:tc>
        <w:tc>
          <w:tcPr>
            <w:tcW w:w="1447" w:type="dxa"/>
            <w:tcBorders>
              <w:top w:val="single" w:sz="4" w:space="0" w:color="auto"/>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spacing w:line="241"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1500 cc/ 100 L su</w:t>
            </w:r>
          </w:p>
        </w:tc>
        <w:tc>
          <w:tcPr>
            <w:tcW w:w="1246" w:type="dxa"/>
            <w:tcBorders>
              <w:top w:val="single" w:sz="4" w:space="0" w:color="auto"/>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6F6966" w:rsidRPr="006F6966" w:rsidRDefault="006F6966" w:rsidP="006F6966">
            <w:pPr>
              <w:framePr w:w="11063" w:wrap="notBeside" w:vAnchor="text" w:hAnchor="text" w:xAlign="center" w:y="1"/>
              <w:rPr>
                <w:rFonts w:ascii="Times New Roman" w:hAnsi="Times New Roman" w:cs="Times New Roman"/>
                <w:sz w:val="22"/>
                <w:szCs w:val="22"/>
              </w:rPr>
            </w:pPr>
          </w:p>
        </w:tc>
        <w:tc>
          <w:tcPr>
            <w:tcW w:w="2423" w:type="dxa"/>
            <w:tcBorders>
              <w:top w:val="single" w:sz="4" w:space="0" w:color="auto"/>
              <w:left w:val="single" w:sz="4" w:space="0" w:color="auto"/>
              <w:bottom w:val="single" w:sz="4" w:space="0" w:color="auto"/>
              <w:right w:val="single" w:sz="4" w:space="0" w:color="auto"/>
            </w:tcBorders>
            <w:shd w:val="clear" w:color="auto" w:fill="FFFFFF"/>
            <w:vAlign w:val="bottom"/>
          </w:tcPr>
          <w:p w:rsidR="006F6966" w:rsidRPr="006F6966" w:rsidRDefault="006F6966" w:rsidP="006F6966">
            <w:pPr>
              <w:framePr w:w="11063" w:wrap="notBeside" w:vAnchor="text" w:hAnchor="text" w:xAlign="center" w:y="1"/>
              <w:spacing w:line="252" w:lineRule="exact"/>
              <w:rPr>
                <w:rFonts w:ascii="Times New Roman" w:eastAsia="Times New Roman" w:hAnsi="Times New Roman" w:cs="Times New Roman"/>
                <w:sz w:val="22"/>
                <w:szCs w:val="22"/>
              </w:rPr>
            </w:pPr>
            <w:r w:rsidRPr="006F6966">
              <w:rPr>
                <w:rFonts w:ascii="Times New Roman" w:eastAsia="Times New Roman" w:hAnsi="Times New Roman" w:cs="Times New Roman"/>
                <w:spacing w:val="10"/>
                <w:sz w:val="22"/>
                <w:szCs w:val="22"/>
              </w:rPr>
              <w:t>1. İlaçlama çiçeklenme başlangıcı(%5-10) 2. Ve diğer ilaçlamalar 7 gün aralıklarla tam çiçeklenme dönemi dahil yapılmalıdır.</w:t>
            </w:r>
          </w:p>
        </w:tc>
      </w:tr>
    </w:tbl>
    <w:p w:rsidR="006F6966" w:rsidRPr="006F6966" w:rsidRDefault="006F6966" w:rsidP="006F6966">
      <w:pPr>
        <w:framePr w:w="11063" w:wrap="notBeside" w:vAnchor="text" w:hAnchor="text" w:xAlign="center" w:y="1"/>
        <w:rPr>
          <w:rFonts w:ascii="Times New Roman" w:hAnsi="Times New Roman" w:cs="Times New Roman"/>
          <w:sz w:val="22"/>
          <w:szCs w:val="22"/>
        </w:rPr>
      </w:pPr>
    </w:p>
    <w:p w:rsidR="006F6966" w:rsidRPr="006F6966" w:rsidRDefault="006F6966" w:rsidP="006F6966">
      <w:pPr>
        <w:rPr>
          <w:rFonts w:ascii="Times New Roman" w:hAnsi="Times New Roman" w:cs="Times New Roman"/>
          <w:sz w:val="22"/>
          <w:szCs w:val="22"/>
        </w:rPr>
      </w:pPr>
    </w:p>
    <w:p w:rsidR="006F6966" w:rsidRPr="006F6966" w:rsidRDefault="006F6966" w:rsidP="006F6966">
      <w:pPr>
        <w:rPr>
          <w:rFonts w:ascii="Times New Roman" w:hAnsi="Times New Roman" w:cs="Times New Roman"/>
          <w:sz w:val="22"/>
          <w:szCs w:val="22"/>
        </w:rPr>
      </w:pPr>
    </w:p>
    <w:p w:rsidR="006F6966" w:rsidRPr="006F6966" w:rsidRDefault="006F6966" w:rsidP="009C0221">
      <w:pPr>
        <w:pStyle w:val="Gvdemetni20"/>
        <w:shd w:val="clear" w:color="auto" w:fill="auto"/>
        <w:spacing w:after="594" w:line="317" w:lineRule="exact"/>
        <w:ind w:firstLine="1060"/>
        <w:jc w:val="both"/>
        <w:rPr>
          <w:sz w:val="22"/>
          <w:szCs w:val="22"/>
        </w:rPr>
      </w:pPr>
    </w:p>
    <w:sectPr w:rsidR="006F6966" w:rsidRPr="006F6966">
      <w:footerReference w:type="default" r:id="rId7"/>
      <w:pgSz w:w="11900" w:h="16840"/>
      <w:pgMar w:top="1037" w:right="1117" w:bottom="663" w:left="10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28" w:rsidRDefault="00724328">
      <w:r>
        <w:separator/>
      </w:r>
    </w:p>
  </w:endnote>
  <w:endnote w:type="continuationSeparator" w:id="0">
    <w:p w:rsidR="00724328" w:rsidRDefault="007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Heavy">
    <w:altName w:val="Arial Black"/>
    <w:panose1 w:val="020B09030201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A8" w:rsidRDefault="00A0603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3725545</wp:posOffset>
              </wp:positionH>
              <wp:positionV relativeFrom="page">
                <wp:posOffset>10619740</wp:posOffset>
              </wp:positionV>
              <wp:extent cx="147320" cy="94615"/>
              <wp:effectExtent l="127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6A8" w:rsidRDefault="00932962">
                          <w:pPr>
                            <w:pStyle w:val="stbilgiveyaaltbilgi0"/>
                            <w:shd w:val="clear" w:color="auto" w:fill="auto"/>
                            <w:spacing w:line="240" w:lineRule="auto"/>
                          </w:pPr>
                          <w:r>
                            <w:fldChar w:fldCharType="begin"/>
                          </w:r>
                          <w:r>
                            <w:instrText xml:space="preserve"> PAGE \* MERGEFORMAT </w:instrText>
                          </w:r>
                          <w:r>
                            <w:fldChar w:fldCharType="separate"/>
                          </w:r>
                          <w:r w:rsidR="006F6966" w:rsidRPr="006F6966">
                            <w:rPr>
                              <w:rStyle w:val="stbilgiveyaaltbilgi1"/>
                              <w:noProof/>
                            </w:rPr>
                            <w:t>1</w:t>
                          </w:r>
                          <w:r>
                            <w:rPr>
                              <w:rStyle w:val="stbilgiveyaaltbilgi1"/>
                            </w:rPr>
                            <w:fldChar w:fldCharType="end"/>
                          </w:r>
                          <w:r>
                            <w:rPr>
                              <w:rStyle w:val="stbilgiveyaaltbilgi2"/>
                            </w:rPr>
                            <w:t xml:space="preserve"> / </w:t>
                          </w:r>
                          <w:r>
                            <w:rPr>
                              <w:rStyle w:val="stbilgiveyaaltbilgi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5pt;margin-top:836.2pt;width:11.6pt;height:7.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" filled="f" stroked="f">
              <v:textbox style="mso-fit-shape-to-text:t" inset="0,0,0,0">
                <w:txbxContent>
                  <w:p w:rsidR="008B26A8" w:rsidRDefault="00932962">
                    <w:pPr>
                      <w:pStyle w:val="stbilgiveyaaltbilgi0"/>
                      <w:shd w:val="clear" w:color="auto" w:fill="auto"/>
                      <w:spacing w:line="240" w:lineRule="auto"/>
                    </w:pPr>
                    <w:r>
                      <w:fldChar w:fldCharType="begin"/>
                    </w:r>
                    <w:r>
                      <w:instrText xml:space="preserve"> PAGE \* MERGEFORMAT </w:instrText>
                    </w:r>
                    <w:r>
                      <w:fldChar w:fldCharType="separate"/>
                    </w:r>
                    <w:r w:rsidR="006F6966" w:rsidRPr="006F6966">
                      <w:rPr>
                        <w:rStyle w:val="stbilgiveyaaltbilgi1"/>
                        <w:noProof/>
                      </w:rPr>
                      <w:t>1</w:t>
                    </w:r>
                    <w:r>
                      <w:rPr>
                        <w:rStyle w:val="stbilgiveyaaltbilgi1"/>
                      </w:rPr>
                      <w:fldChar w:fldCharType="end"/>
                    </w:r>
                    <w:r>
                      <w:rPr>
                        <w:rStyle w:val="stbilgiveyaaltbilgi2"/>
                      </w:rPr>
                      <w:t xml:space="preserve"> / </w:t>
                    </w:r>
                    <w:r>
                      <w:rPr>
                        <w:rStyle w:val="stbilgiveyaaltbilgi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28" w:rsidRDefault="00724328"/>
  </w:footnote>
  <w:footnote w:type="continuationSeparator" w:id="0">
    <w:p w:rsidR="00724328" w:rsidRDefault="007243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01CF"/>
    <w:multiLevelType w:val="multilevel"/>
    <w:tmpl w:val="3EF6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FE14E8"/>
    <w:multiLevelType w:val="multilevel"/>
    <w:tmpl w:val="73AAA29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A8"/>
    <w:rsid w:val="006F6966"/>
    <w:rsid w:val="00724328"/>
    <w:rsid w:val="008B26A8"/>
    <w:rsid w:val="00932962"/>
    <w:rsid w:val="009C0221"/>
    <w:rsid w:val="00A06033"/>
    <w:rsid w:val="00C07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9930"/>
  <w15:docId w15:val="{0FFBC1F8-A28E-40AA-8CC6-CB3FBF3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Exact">
    <w:name w:val="Resim yazısı Exact"/>
    <w:basedOn w:val="VarsaylanParagrafYazTipi"/>
    <w:link w:val="Resimyazs"/>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ResimyazsExact0">
    <w:name w:val="Resim yazısı Exact"/>
    <w:basedOn w:val="ResimyazsExact"/>
    <w:rPr>
      <w:rFonts w:ascii="Franklin Gothic Heavy" w:eastAsia="Franklin Gothic Heavy" w:hAnsi="Franklin Gothic Heavy" w:cs="Franklin Gothic Heavy"/>
      <w:b w:val="0"/>
      <w:bCs w:val="0"/>
      <w:i w:val="0"/>
      <w:iCs w:val="0"/>
      <w:smallCaps w:val="0"/>
      <w:strike w:val="0"/>
      <w:color w:val="0478AC"/>
      <w:spacing w:val="0"/>
      <w:w w:val="100"/>
      <w:position w:val="0"/>
      <w:sz w:val="8"/>
      <w:szCs w:val="8"/>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3"/>
      <w:szCs w:val="13"/>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2Kalntalik0">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8"/>
      <w:szCs w:val="18"/>
      <w:u w:val="none"/>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color w:val="FF0000"/>
      <w:spacing w:val="0"/>
      <w:w w:val="100"/>
      <w:position w:val="0"/>
      <w:sz w:val="18"/>
      <w:szCs w:val="18"/>
      <w:u w:val="none"/>
      <w:lang w:val="tr-TR" w:eastAsia="tr-TR" w:bidi="tr-TR"/>
    </w:rPr>
  </w:style>
  <w:style w:type="character" w:customStyle="1" w:styleId="Gvdemetni5">
    <w:name w:val="Gövde metni (5)_"/>
    <w:basedOn w:val="VarsaylanParagrafYazTipi"/>
    <w:link w:val="Gvdemetni50"/>
    <w:rPr>
      <w:rFonts w:ascii="Corbel" w:eastAsia="Corbel" w:hAnsi="Corbel" w:cs="Corbel"/>
      <w:b w:val="0"/>
      <w:bCs w:val="0"/>
      <w:i w:val="0"/>
      <w:iCs w:val="0"/>
      <w:smallCaps w:val="0"/>
      <w:strike w:val="0"/>
      <w:sz w:val="22"/>
      <w:szCs w:val="22"/>
      <w:u w:val="none"/>
    </w:rPr>
  </w:style>
  <w:style w:type="character" w:customStyle="1" w:styleId="Gvdemetni51">
    <w:name w:val="Gövde metni (5)"/>
    <w:basedOn w:val="Gvdemetni5"/>
    <w:rPr>
      <w:rFonts w:ascii="Corbel" w:eastAsia="Corbel" w:hAnsi="Corbel" w:cs="Corbel"/>
      <w:b w:val="0"/>
      <w:bCs w:val="0"/>
      <w:i w:val="0"/>
      <w:iCs w:val="0"/>
      <w:smallCaps w:val="0"/>
      <w:strike w:val="0"/>
      <w:color w:val="DE1414"/>
      <w:spacing w:val="0"/>
      <w:w w:val="100"/>
      <w:position w:val="0"/>
      <w:sz w:val="22"/>
      <w:szCs w:val="22"/>
      <w:u w:val="none"/>
      <w:lang w:val="tr-TR" w:eastAsia="tr-TR" w:bidi="tr-TR"/>
    </w:rPr>
  </w:style>
  <w:style w:type="paragraph" w:customStyle="1" w:styleId="Resimyazs">
    <w:name w:val="Resim yazısı"/>
    <w:basedOn w:val="Normal"/>
    <w:link w:val="ResimyazsExact"/>
    <w:pPr>
      <w:shd w:val="clear" w:color="auto" w:fill="FFFFFF"/>
      <w:spacing w:line="82" w:lineRule="exact"/>
      <w:jc w:val="center"/>
    </w:pPr>
    <w:rPr>
      <w:rFonts w:ascii="Franklin Gothic Heavy" w:eastAsia="Franklin Gothic Heavy" w:hAnsi="Franklin Gothic Heavy" w:cs="Franklin Gothic Heavy"/>
      <w:sz w:val="8"/>
      <w:szCs w:val="8"/>
    </w:rPr>
  </w:style>
  <w:style w:type="paragraph" w:customStyle="1" w:styleId="Gvdemetni20">
    <w:name w:val="Gövde metni (2)"/>
    <w:basedOn w:val="Normal"/>
    <w:link w:val="Gvdemetni2"/>
    <w:pPr>
      <w:shd w:val="clear" w:color="auto" w:fill="FFFFFF"/>
      <w:spacing w:line="240" w:lineRule="exact"/>
      <w:ind w:hanging="1080"/>
      <w:jc w:val="center"/>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144" w:lineRule="exact"/>
    </w:pPr>
    <w:rPr>
      <w:rFonts w:ascii="Times New Roman" w:eastAsia="Times New Roman" w:hAnsi="Times New Roman" w:cs="Times New Roman"/>
      <w:sz w:val="13"/>
      <w:szCs w:val="13"/>
    </w:rPr>
  </w:style>
  <w:style w:type="paragraph" w:customStyle="1" w:styleId="Gvdemetni30">
    <w:name w:val="Gövde metni (3)"/>
    <w:basedOn w:val="Normal"/>
    <w:link w:val="Gvdemetni3"/>
    <w:pPr>
      <w:shd w:val="clear" w:color="auto" w:fill="FFFFFF"/>
      <w:spacing w:before="240" w:line="317" w:lineRule="exact"/>
      <w:ind w:firstLine="820"/>
      <w:jc w:val="both"/>
    </w:pPr>
    <w:rPr>
      <w:rFonts w:ascii="Times New Roman" w:eastAsia="Times New Roman" w:hAnsi="Times New Roman" w:cs="Times New Roman"/>
      <w:i/>
      <w:iCs/>
    </w:rPr>
  </w:style>
  <w:style w:type="paragraph" w:customStyle="1" w:styleId="Gvdemetni40">
    <w:name w:val="Gövde metni (4)"/>
    <w:basedOn w:val="Normal"/>
    <w:link w:val="Gvdemetni4"/>
    <w:pPr>
      <w:shd w:val="clear" w:color="auto" w:fill="FFFFFF"/>
      <w:spacing w:before="500" w:after="240" w:line="200" w:lineRule="exact"/>
      <w:jc w:val="center"/>
    </w:pPr>
    <w:rPr>
      <w:rFonts w:ascii="Times New Roman" w:eastAsia="Times New Roman" w:hAnsi="Times New Roman" w:cs="Times New Roman"/>
      <w:sz w:val="18"/>
      <w:szCs w:val="18"/>
    </w:rPr>
  </w:style>
  <w:style w:type="paragraph" w:customStyle="1" w:styleId="Gvdemetni50">
    <w:name w:val="Gövde metni (5)"/>
    <w:basedOn w:val="Normal"/>
    <w:link w:val="Gvdemetni5"/>
    <w:pPr>
      <w:shd w:val="clear" w:color="auto" w:fill="FFFFFF"/>
      <w:spacing w:before="640" w:after="180" w:line="268" w:lineRule="exact"/>
    </w:pPr>
    <w:rPr>
      <w:rFonts w:ascii="Corbel" w:eastAsia="Corbel" w:hAnsi="Corbel" w:cs="Corbel"/>
      <w:sz w:val="22"/>
      <w:szCs w:val="22"/>
    </w:rPr>
  </w:style>
  <w:style w:type="paragraph" w:styleId="BalonMetni">
    <w:name w:val="Balloon Text"/>
    <w:basedOn w:val="Normal"/>
    <w:link w:val="BalonMetniChar"/>
    <w:uiPriority w:val="99"/>
    <w:semiHidden/>
    <w:unhideWhenUsed/>
    <w:rsid w:val="009C0221"/>
    <w:rPr>
      <w:rFonts w:ascii="Tahoma" w:hAnsi="Tahoma" w:cs="Tahoma"/>
      <w:sz w:val="16"/>
      <w:szCs w:val="16"/>
    </w:rPr>
  </w:style>
  <w:style w:type="character" w:customStyle="1" w:styleId="BalonMetniChar">
    <w:name w:val="Balon Metni Char"/>
    <w:basedOn w:val="VarsaylanParagrafYazTipi"/>
    <w:link w:val="BalonMetni"/>
    <w:uiPriority w:val="99"/>
    <w:semiHidden/>
    <w:rsid w:val="009C0221"/>
    <w:rPr>
      <w:rFonts w:ascii="Tahoma" w:hAnsi="Tahoma" w:cs="Tahoma"/>
      <w:color w:val="000000"/>
      <w:sz w:val="16"/>
      <w:szCs w:val="16"/>
    </w:rPr>
  </w:style>
  <w:style w:type="character" w:customStyle="1" w:styleId="Balk1">
    <w:name w:val="Başlık #1_"/>
    <w:basedOn w:val="VarsaylanParagrafYazTipi"/>
    <w:link w:val="Balk10"/>
    <w:rsid w:val="006F6966"/>
    <w:rPr>
      <w:rFonts w:ascii="Calibri" w:eastAsia="Calibri" w:hAnsi="Calibri" w:cs="Calibri"/>
      <w:sz w:val="28"/>
      <w:szCs w:val="28"/>
      <w:shd w:val="clear" w:color="auto" w:fill="FFFFFF"/>
    </w:rPr>
  </w:style>
  <w:style w:type="character" w:customStyle="1" w:styleId="Gvdemetni29ptKaln">
    <w:name w:val="Gövde metni (2) + 9 pt;Kalın"/>
    <w:basedOn w:val="Gvdemetni2"/>
    <w:rsid w:val="006F6966"/>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pt0ptbolukbraklyor">
    <w:name w:val="Gövde metni (2) + 9 pt;0 pt boşluk bırakılıyor"/>
    <w:basedOn w:val="Gvdemetni2"/>
    <w:rsid w:val="006F6966"/>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25pt">
    <w:name w:val="Gövde metni (2) + 5 pt"/>
    <w:basedOn w:val="Gvdemetni2"/>
    <w:rsid w:val="006F696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tr-TR" w:eastAsia="tr-TR" w:bidi="tr-TR"/>
    </w:rPr>
  </w:style>
  <w:style w:type="paragraph" w:customStyle="1" w:styleId="Balk10">
    <w:name w:val="Başlık #1"/>
    <w:basedOn w:val="Normal"/>
    <w:link w:val="Balk1"/>
    <w:rsid w:val="006F6966"/>
    <w:pPr>
      <w:shd w:val="clear" w:color="auto" w:fill="FFFFFF"/>
      <w:spacing w:line="385" w:lineRule="exact"/>
      <w:ind w:hanging="1540"/>
      <w:outlineLvl w:val="0"/>
    </w:pPr>
    <w:rPr>
      <w:rFonts w:ascii="Calibri" w:eastAsia="Calibri" w:hAnsi="Calibri" w:cs="Calibri"/>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F2B76-1D35-487B-A692-5D1BDCF30763}"/>
</file>

<file path=customXml/itemProps2.xml><?xml version="1.0" encoding="utf-8"?>
<ds:datastoreItem xmlns:ds="http://schemas.openxmlformats.org/officeDocument/2006/customXml" ds:itemID="{424FF2FD-6D83-4B03-931E-10E6A0BC6E9F}"/>
</file>

<file path=customXml/itemProps3.xml><?xml version="1.0" encoding="utf-8"?>
<ds:datastoreItem xmlns:ds="http://schemas.openxmlformats.org/officeDocument/2006/customXml" ds:itemID="{5066EEB8-14E1-4FDA-A021-794212B27643}"/>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cp:revision>
  <dcterms:created xsi:type="dcterms:W3CDTF">2018-03-20T08:41:00Z</dcterms:created>
  <dcterms:modified xsi:type="dcterms:W3CDTF">2018-03-20T10:44:00Z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